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68" w:rsidRPr="003609E3" w:rsidRDefault="003609E3" w:rsidP="0036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E3">
        <w:rPr>
          <w:rFonts w:ascii="Times New Roman" w:hAnsi="Times New Roman" w:cs="Times New Roman"/>
          <w:b/>
          <w:sz w:val="24"/>
          <w:szCs w:val="24"/>
        </w:rPr>
        <w:t>Уважаемые депутаты</w:t>
      </w:r>
    </w:p>
    <w:p w:rsidR="003609E3" w:rsidRDefault="003609E3" w:rsidP="0036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E3">
        <w:rPr>
          <w:rFonts w:ascii="Times New Roman" w:hAnsi="Times New Roman" w:cs="Times New Roman"/>
          <w:b/>
          <w:sz w:val="24"/>
          <w:szCs w:val="24"/>
        </w:rPr>
        <w:t>Совета депутатов Можайского городского округа!</w:t>
      </w:r>
    </w:p>
    <w:p w:rsidR="003609E3" w:rsidRPr="003609E3" w:rsidRDefault="003609E3" w:rsidP="0036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Можайского городского округа Московской области, в соответствии с планом работы Контрольн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счетной палаты Можайского городского округа Московской области на 2024 год, утвержденным распоряжением Контрольно- счетной палаты Можайского городского округа Московской области от 27.12.2023 № 51 проведено экспертно-аналитическое мероприятие по результатам которого подготовлена информация о ходе исполнения бюджета за 1 квартал 2024 года.</w:t>
      </w:r>
    </w:p>
    <w:p w:rsidR="003609E3" w:rsidRPr="003609E3" w:rsidRDefault="003609E3" w:rsidP="00360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Отчет об исполнении бюджета Можайского городского округа Московской области за 1 квартал 2024 года утвержден постановлением Администрации Можайского городского  округа Московской области от 17.04.2024 № 1477-П и представлен в Контрольно-счетную палату Можайского городского округа Московской области, что соответствует части 5 статьи 264.2 Бюджетного кодекса РФ и пункту 15.1 Положения о бюджетном процессе.</w:t>
      </w:r>
      <w:proofErr w:type="gramEnd"/>
    </w:p>
    <w:p w:rsidR="003609E3" w:rsidRPr="003609E3" w:rsidRDefault="003609E3" w:rsidP="003609E3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3609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квартал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  <w:r w:rsidRPr="003609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Можайского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Московской области поступило доходов в сумме 857 866,9 тыс. рублей, что составляет 19% от уточненного</w:t>
      </w:r>
      <w:r w:rsidRPr="003609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плана на</w:t>
      </w:r>
      <w:r w:rsidRPr="003609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 2024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год. При этом налоговые доходы исполнены на 17,4% или в сумме 477 190,9 тыс. рублей, неналоговые доходы – на 39,4% или в сумме 87 219,9 тыс. рублей, безвозмездные поступления – на 18,9% или в сумме 293 456,1 тыс. рублей.</w:t>
      </w:r>
    </w:p>
    <w:p w:rsidR="003609E3" w:rsidRPr="003609E3" w:rsidRDefault="003609E3" w:rsidP="003609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Расходная часть бюджета Можайского городского округа Московской области за   1 квартал 2024 года исполнена в сумме 781 357,2 тыс. рублей, что составляет 16,7% к годовым бюджетным ассигнованиям, установленным сводной бюджетной росписью.</w:t>
      </w:r>
    </w:p>
    <w:p w:rsidR="003609E3" w:rsidRP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исполнения бюджета Можайского городского округа Московской области за 1 квартал 2024 года сложился </w:t>
      </w:r>
      <w:proofErr w:type="spellStart"/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профицит</w:t>
      </w:r>
      <w:proofErr w:type="spellEnd"/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76 509,7 тыс. рублей.  По состоянию на 01.04.2024 объем муниципального долга Можайского городского округа Московской области составляет 164 999,9 тыс. рублей.</w:t>
      </w:r>
      <w:r w:rsidRPr="00360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09E3" w:rsidRP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Анализ исполнения бюджетных ассигнований в разрезе разделов функциональной классификации показал, что диапазон освоения средств составил от 7,5% по подразделу  «Здравоохранение» до 23,7% по подразделу «</w:t>
      </w:r>
      <w:r w:rsidRPr="003609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Культура, кинематография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». Наибольший процент исполнения сложился по разделам: «</w:t>
      </w:r>
      <w:r w:rsidRPr="003609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Культура, кинематография» - 23,7%,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«Общегосударственные вопросы» - 20,6%, «Образование» -</w:t>
      </w:r>
      <w:r w:rsidRPr="003609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19,2%;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наименьший процент исполнения сложился по разделам: «Здравоохранение» - 7,5%,</w:t>
      </w:r>
      <w:r w:rsidRPr="00360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«Национальная экономика» - 8%, «</w:t>
      </w:r>
      <w:r w:rsidRPr="003609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Физическая культура и спорт» - 9%.</w:t>
      </w:r>
      <w:r w:rsidRPr="00360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За 1 квартал 2024 года не осуществлялись расходы по следующим разделам: «Национальная оборона», «</w:t>
      </w:r>
      <w:r w:rsidRPr="003609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Охрана окружающей среды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>», «Обслуживание государственного и муниципального долга».</w:t>
      </w:r>
    </w:p>
    <w:p w:rsidR="003609E3" w:rsidRP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9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Наибольший</w:t>
      </w:r>
      <w:r w:rsidRPr="003609E3">
        <w:rPr>
          <w:rFonts w:ascii="Times New Roman" w:eastAsia="Arial Unicode MS" w:hAnsi="Times New Roman" w:cs="Times New Roman"/>
          <w:sz w:val="24"/>
          <w:szCs w:val="24"/>
        </w:rPr>
        <w:t xml:space="preserve"> удельный вес в общем объеме исполненных расходов приходится на </w:t>
      </w:r>
      <w:r w:rsidRPr="003609E3">
        <w:rPr>
          <w:rFonts w:ascii="Times New Roman" w:hAnsi="Times New Roman" w:cs="Times New Roman"/>
          <w:bCs/>
          <w:sz w:val="24"/>
          <w:szCs w:val="24"/>
        </w:rPr>
        <w:t>муниципальную программу</w:t>
      </w:r>
      <w:r w:rsidRPr="003609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609E3">
        <w:rPr>
          <w:rFonts w:ascii="Times New Roman" w:hAnsi="Times New Roman" w:cs="Times New Roman"/>
          <w:bCs/>
          <w:sz w:val="24"/>
          <w:szCs w:val="24"/>
        </w:rPr>
        <w:t>«Образование»</w:t>
      </w:r>
      <w:r w:rsidRPr="003609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609E3">
        <w:rPr>
          <w:rFonts w:ascii="Times New Roman" w:hAnsi="Times New Roman" w:cs="Times New Roman"/>
          <w:bCs/>
          <w:sz w:val="24"/>
          <w:szCs w:val="24"/>
        </w:rPr>
        <w:t>на 2023-2027 годы</w:t>
      </w:r>
      <w:r w:rsidRPr="003609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609E3">
        <w:rPr>
          <w:rFonts w:ascii="Times New Roman" w:hAnsi="Times New Roman" w:cs="Times New Roman"/>
          <w:bCs/>
          <w:sz w:val="24"/>
          <w:szCs w:val="24"/>
        </w:rPr>
        <w:t>(43,3</w:t>
      </w:r>
      <w:r w:rsidRPr="00360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%).</w:t>
      </w:r>
    </w:p>
    <w:p w:rsidR="003609E3" w:rsidRP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исполнения бюджета Можайского городского округа Московской области за 1 квартал 2024 года диапазон освоения средств по муниципальным программам составил от 0,5% по </w:t>
      </w:r>
      <w:r w:rsidRPr="00360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муниципальной программе </w:t>
      </w:r>
      <w:r w:rsidRPr="003609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360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сельского хозяйства» на                          2023-2027 годы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22,8% по </w:t>
      </w:r>
      <w:r w:rsidRPr="00360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программе «Культура и туризм» на                               2023-2027 годы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EB2" w:rsidRDefault="00F42EB2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p w:rsidR="00F42EB2" w:rsidRPr="00F42EB2" w:rsidRDefault="00F42EB2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Контрольно-счетной палаты</w:t>
      </w: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городского округа</w:t>
      </w: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О.В. Кузнецова</w:t>
      </w:r>
    </w:p>
    <w:p w:rsidR="00F42EB2" w:rsidRPr="00F42EB2" w:rsidRDefault="00F42EB2" w:rsidP="00F42EB2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2EB2" w:rsidRPr="003609E3" w:rsidRDefault="00F42EB2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2EB2" w:rsidRPr="003609E3" w:rsidSect="00D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E3"/>
    <w:rsid w:val="003609E3"/>
    <w:rsid w:val="00D75F68"/>
    <w:rsid w:val="00F4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60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2024-07-17T09:08:00Z</dcterms:created>
  <dcterms:modified xsi:type="dcterms:W3CDTF">2024-07-17T09:18:00Z</dcterms:modified>
</cp:coreProperties>
</file>